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D088" w14:textId="77777777" w:rsidR="008D3454" w:rsidRPr="00947118" w:rsidRDefault="008D3454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b/>
          <w:szCs w:val="24"/>
        </w:rPr>
      </w:pPr>
    </w:p>
    <w:p w14:paraId="422BFB67" w14:textId="0CBEA920" w:rsidR="0050799C" w:rsidRPr="00947118" w:rsidRDefault="00BB50E4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>DOCUMENTO DE SOLICITUD DE OFERTA SDO (</w:t>
      </w:r>
      <w:r w:rsidR="00826A10" w:rsidRPr="00947118">
        <w:rPr>
          <w:rFonts w:asciiTheme="minorHAnsi" w:hAnsiTheme="minorHAnsi" w:cstheme="minorHAnsi"/>
          <w:b/>
          <w:szCs w:val="24"/>
        </w:rPr>
        <w:t>OBRAS</w:t>
      </w:r>
      <w:r w:rsidRPr="00947118">
        <w:rPr>
          <w:rFonts w:asciiTheme="minorHAnsi" w:hAnsiTheme="minorHAnsi" w:cstheme="minorHAnsi"/>
          <w:b/>
          <w:szCs w:val="24"/>
        </w:rPr>
        <w:t xml:space="preserve">)  </w:t>
      </w:r>
    </w:p>
    <w:p w14:paraId="2C588466" w14:textId="52AF68B8" w:rsidR="0050799C" w:rsidRPr="00947118" w:rsidRDefault="00BB50E4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b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>SDO-</w:t>
      </w:r>
      <w:r w:rsidR="008D3454" w:rsidRPr="00947118">
        <w:rPr>
          <w:rFonts w:asciiTheme="minorHAnsi" w:hAnsiTheme="minorHAnsi" w:cstheme="minorHAnsi"/>
          <w:b/>
          <w:szCs w:val="24"/>
        </w:rPr>
        <w:t>OBRAS</w:t>
      </w:r>
      <w:r w:rsidRPr="00947118">
        <w:rPr>
          <w:rFonts w:asciiTheme="minorHAnsi" w:hAnsiTheme="minorHAnsi" w:cstheme="minorHAnsi"/>
          <w:b/>
          <w:szCs w:val="24"/>
        </w:rPr>
        <w:t>-</w:t>
      </w:r>
      <w:r w:rsidR="009913BB" w:rsidRPr="00947118">
        <w:rPr>
          <w:rFonts w:asciiTheme="minorHAnsi" w:hAnsiTheme="minorHAnsi" w:cstheme="minorHAnsi"/>
          <w:b/>
          <w:szCs w:val="24"/>
        </w:rPr>
        <w:t>CAVEXA</w:t>
      </w:r>
      <w:r w:rsidRPr="00947118">
        <w:rPr>
          <w:rFonts w:asciiTheme="minorHAnsi" w:hAnsiTheme="minorHAnsi" w:cstheme="minorHAnsi"/>
          <w:b/>
          <w:szCs w:val="24"/>
        </w:rPr>
        <w:t>-01-202</w:t>
      </w:r>
      <w:r w:rsidR="002F56D6" w:rsidRPr="00947118">
        <w:rPr>
          <w:rFonts w:asciiTheme="minorHAnsi" w:hAnsiTheme="minorHAnsi" w:cstheme="minorHAnsi"/>
          <w:b/>
          <w:szCs w:val="24"/>
        </w:rPr>
        <w:t>2</w:t>
      </w:r>
      <w:r w:rsidRPr="00947118">
        <w:rPr>
          <w:rFonts w:asciiTheme="minorHAnsi" w:hAnsiTheme="minorHAnsi" w:cstheme="minorHAnsi"/>
          <w:b/>
          <w:szCs w:val="24"/>
        </w:rPr>
        <w:t xml:space="preserve"> </w:t>
      </w:r>
    </w:p>
    <w:p w14:paraId="66BB7129" w14:textId="77777777" w:rsidR="00CA68C5" w:rsidRPr="00947118" w:rsidRDefault="00CA68C5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szCs w:val="24"/>
        </w:rPr>
      </w:pPr>
      <w:bookmarkStart w:id="0" w:name="_Hlk56434710"/>
    </w:p>
    <w:p w14:paraId="00A42CB2" w14:textId="24DB5FF9" w:rsidR="00947118" w:rsidRPr="00947118" w:rsidRDefault="000623B3" w:rsidP="00947118">
      <w:pPr>
        <w:pStyle w:val="Sinespaciado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bookmarkStart w:id="1" w:name="_Hlk106281521"/>
      <w:bookmarkEnd w:id="0"/>
      <w:r w:rsidRPr="00947118">
        <w:rPr>
          <w:rFonts w:asciiTheme="minorHAnsi" w:hAnsiTheme="minorHAnsi" w:cstheme="minorHAnsi"/>
          <w:b/>
          <w:sz w:val="24"/>
          <w:szCs w:val="24"/>
        </w:rPr>
        <w:t xml:space="preserve">CONSTRUCCIÓN DE: </w:t>
      </w:r>
      <w:r w:rsidR="00947118" w:rsidRPr="00947118">
        <w:rPr>
          <w:rFonts w:asciiTheme="minorHAnsi" w:hAnsiTheme="minorHAnsi" w:cstheme="minorHAnsi"/>
          <w:b/>
          <w:bCs/>
          <w:sz w:val="24"/>
          <w:szCs w:val="24"/>
          <w:lang w:val="es-ES"/>
        </w:rPr>
        <w:t>PLANTA MULTIFUNCIONAL CON UNIDAD DE FRÍO INCLUIDA.</w:t>
      </w:r>
    </w:p>
    <w:bookmarkEnd w:id="1"/>
    <w:p w14:paraId="1E8BE5BD" w14:textId="6CB7A214" w:rsidR="0050799C" w:rsidRPr="00947118" w:rsidRDefault="00BB50E4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 xml:space="preserve"> </w:t>
      </w:r>
    </w:p>
    <w:p w14:paraId="77F9545B" w14:textId="6060875B" w:rsidR="00BB50E4" w:rsidRPr="00947118" w:rsidRDefault="00BB50E4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b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>ENMIENDA No</w:t>
      </w:r>
      <w:r w:rsidR="00DE3C1C" w:rsidRPr="00947118">
        <w:rPr>
          <w:rFonts w:asciiTheme="minorHAnsi" w:hAnsiTheme="minorHAnsi" w:cstheme="minorHAnsi"/>
          <w:b/>
          <w:szCs w:val="24"/>
        </w:rPr>
        <w:t>.</w:t>
      </w:r>
      <w:r w:rsidRPr="00947118">
        <w:rPr>
          <w:rFonts w:asciiTheme="minorHAnsi" w:hAnsiTheme="minorHAnsi" w:cstheme="minorHAnsi"/>
          <w:b/>
          <w:szCs w:val="24"/>
        </w:rPr>
        <w:t xml:space="preserve"> 0</w:t>
      </w:r>
      <w:r w:rsidR="00B06EE9">
        <w:rPr>
          <w:rFonts w:asciiTheme="minorHAnsi" w:hAnsiTheme="minorHAnsi" w:cstheme="minorHAnsi"/>
          <w:b/>
          <w:szCs w:val="24"/>
        </w:rPr>
        <w:t>2</w:t>
      </w:r>
    </w:p>
    <w:p w14:paraId="332618F3" w14:textId="40DD18AB" w:rsidR="0050799C" w:rsidRPr="00947118" w:rsidRDefault="00947118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22</w:t>
      </w:r>
      <w:r w:rsidR="00BB50E4" w:rsidRPr="00947118">
        <w:rPr>
          <w:rFonts w:asciiTheme="minorHAnsi" w:hAnsiTheme="minorHAnsi" w:cstheme="minorHAnsi"/>
          <w:b/>
          <w:szCs w:val="24"/>
        </w:rPr>
        <w:t xml:space="preserve"> de </w:t>
      </w:r>
      <w:r w:rsidR="000623B3" w:rsidRPr="00947118">
        <w:rPr>
          <w:rFonts w:asciiTheme="minorHAnsi" w:hAnsiTheme="minorHAnsi" w:cstheme="minorHAnsi"/>
          <w:b/>
          <w:szCs w:val="24"/>
        </w:rPr>
        <w:t>julio</w:t>
      </w:r>
      <w:r w:rsidR="00BB50E4" w:rsidRPr="00947118">
        <w:rPr>
          <w:rFonts w:asciiTheme="minorHAnsi" w:hAnsiTheme="minorHAnsi" w:cstheme="minorHAnsi"/>
          <w:b/>
          <w:szCs w:val="24"/>
        </w:rPr>
        <w:t xml:space="preserve"> de 202</w:t>
      </w:r>
      <w:r w:rsidR="000623B3" w:rsidRPr="00947118">
        <w:rPr>
          <w:rFonts w:asciiTheme="minorHAnsi" w:hAnsiTheme="minorHAnsi" w:cstheme="minorHAnsi"/>
          <w:b/>
          <w:szCs w:val="24"/>
        </w:rPr>
        <w:t>2</w:t>
      </w:r>
      <w:r w:rsidR="00BB50E4" w:rsidRPr="00947118">
        <w:rPr>
          <w:rFonts w:asciiTheme="minorHAnsi" w:hAnsiTheme="minorHAnsi" w:cstheme="minorHAnsi"/>
          <w:b/>
          <w:szCs w:val="24"/>
        </w:rPr>
        <w:t xml:space="preserve"> </w:t>
      </w:r>
    </w:p>
    <w:p w14:paraId="54A366D0" w14:textId="77777777" w:rsidR="003053F4" w:rsidRPr="00947118" w:rsidRDefault="003053F4" w:rsidP="00AF122D">
      <w:pPr>
        <w:spacing w:after="0" w:line="240" w:lineRule="auto"/>
        <w:ind w:left="10" w:right="-15"/>
        <w:jc w:val="center"/>
        <w:rPr>
          <w:rFonts w:asciiTheme="minorHAnsi" w:hAnsiTheme="minorHAnsi" w:cstheme="minorHAnsi"/>
          <w:szCs w:val="24"/>
        </w:rPr>
      </w:pPr>
    </w:p>
    <w:p w14:paraId="0BA7F698" w14:textId="78D6853E" w:rsidR="003053F4" w:rsidRPr="00947118" w:rsidRDefault="00BB50E4" w:rsidP="00153389">
      <w:pPr>
        <w:spacing w:after="0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szCs w:val="24"/>
        </w:rPr>
        <w:t>La Organización de Productores Rurales OPR</w:t>
      </w:r>
      <w:r w:rsidRPr="00947118">
        <w:rPr>
          <w:rFonts w:asciiTheme="minorHAnsi" w:hAnsiTheme="minorHAnsi" w:cstheme="minorHAnsi"/>
          <w:b/>
          <w:szCs w:val="24"/>
        </w:rPr>
        <w:t>:</w:t>
      </w:r>
      <w:r w:rsidR="00947118">
        <w:rPr>
          <w:rFonts w:asciiTheme="minorHAnsi" w:hAnsiTheme="minorHAnsi" w:cstheme="minorHAnsi"/>
          <w:b/>
          <w:szCs w:val="24"/>
        </w:rPr>
        <w:t xml:space="preserve"> </w:t>
      </w:r>
      <w:r w:rsidR="00947118" w:rsidRPr="000C34F5">
        <w:rPr>
          <w:b/>
          <w:bCs/>
          <w:szCs w:val="24"/>
          <w:lang w:val="es-GT"/>
        </w:rPr>
        <w:t xml:space="preserve">Campo Verde </w:t>
      </w:r>
      <w:proofErr w:type="spellStart"/>
      <w:r w:rsidR="00947118" w:rsidRPr="000C34F5">
        <w:rPr>
          <w:b/>
          <w:bCs/>
          <w:szCs w:val="24"/>
          <w:lang w:val="es-GT"/>
        </w:rPr>
        <w:t>Export</w:t>
      </w:r>
      <w:proofErr w:type="spellEnd"/>
      <w:r w:rsidR="00947118" w:rsidRPr="000C34F5">
        <w:rPr>
          <w:b/>
          <w:bCs/>
          <w:szCs w:val="24"/>
          <w:lang w:val="es-GT"/>
        </w:rPr>
        <w:t xml:space="preserve"> S.A DE C.V. (CAVEXSA</w:t>
      </w:r>
      <w:r w:rsidR="00026240" w:rsidRPr="000C34F5">
        <w:rPr>
          <w:b/>
          <w:bCs/>
          <w:szCs w:val="24"/>
          <w:lang w:val="es-GT"/>
        </w:rPr>
        <w:t>)</w:t>
      </w:r>
      <w:r w:rsidR="00026240" w:rsidRPr="000C34F5">
        <w:rPr>
          <w:b/>
          <w:bCs/>
          <w:szCs w:val="24"/>
        </w:rPr>
        <w:t xml:space="preserve">, </w:t>
      </w:r>
      <w:r w:rsidR="00026240" w:rsidRPr="00947118">
        <w:rPr>
          <w:rFonts w:asciiTheme="minorHAnsi" w:hAnsiTheme="minorHAnsi" w:cstheme="minorHAnsi"/>
          <w:szCs w:val="24"/>
        </w:rPr>
        <w:t>comunica</w:t>
      </w:r>
      <w:r w:rsidRPr="00947118">
        <w:rPr>
          <w:rFonts w:asciiTheme="minorHAnsi" w:hAnsiTheme="minorHAnsi" w:cstheme="minorHAnsi"/>
          <w:szCs w:val="24"/>
        </w:rPr>
        <w:t xml:space="preserve"> a los oferentes que solicitaron el Documento de Solicitud de Oferta</w:t>
      </w:r>
      <w:r w:rsidRPr="00947118">
        <w:rPr>
          <w:rFonts w:asciiTheme="minorHAnsi" w:hAnsiTheme="minorHAnsi" w:cstheme="minorHAnsi"/>
          <w:b/>
          <w:szCs w:val="24"/>
        </w:rPr>
        <w:t xml:space="preserve"> </w:t>
      </w:r>
      <w:r w:rsidR="008D3454" w:rsidRPr="00947118">
        <w:rPr>
          <w:rFonts w:asciiTheme="minorHAnsi" w:hAnsiTheme="minorHAnsi" w:cstheme="minorHAnsi"/>
          <w:b/>
          <w:szCs w:val="24"/>
        </w:rPr>
        <w:t>SDO-OBRAS-</w:t>
      </w:r>
      <w:r w:rsidR="00947118">
        <w:rPr>
          <w:rFonts w:asciiTheme="minorHAnsi" w:hAnsiTheme="minorHAnsi" w:cstheme="minorHAnsi"/>
          <w:b/>
          <w:szCs w:val="24"/>
        </w:rPr>
        <w:t>CAVEXA</w:t>
      </w:r>
      <w:r w:rsidR="008D3454" w:rsidRPr="00947118">
        <w:rPr>
          <w:rFonts w:asciiTheme="minorHAnsi" w:hAnsiTheme="minorHAnsi" w:cstheme="minorHAnsi"/>
          <w:b/>
          <w:szCs w:val="24"/>
        </w:rPr>
        <w:t>-01-202</w:t>
      </w:r>
      <w:r w:rsidR="00153389" w:rsidRPr="00947118">
        <w:rPr>
          <w:rFonts w:asciiTheme="minorHAnsi" w:hAnsiTheme="minorHAnsi" w:cstheme="minorHAnsi"/>
          <w:b/>
          <w:szCs w:val="24"/>
        </w:rPr>
        <w:t>2</w:t>
      </w:r>
      <w:r w:rsidR="008D3454" w:rsidRPr="00947118">
        <w:rPr>
          <w:rFonts w:asciiTheme="minorHAnsi" w:hAnsiTheme="minorHAnsi" w:cstheme="minorHAnsi"/>
          <w:b/>
          <w:szCs w:val="24"/>
        </w:rPr>
        <w:t>,</w:t>
      </w:r>
      <w:r w:rsidR="00C12B16" w:rsidRPr="00947118">
        <w:rPr>
          <w:rFonts w:asciiTheme="minorHAnsi" w:hAnsiTheme="minorHAnsi" w:cstheme="minorHAnsi"/>
          <w:b/>
          <w:szCs w:val="24"/>
        </w:rPr>
        <w:t xml:space="preserve"> </w:t>
      </w:r>
      <w:r w:rsidR="00153389" w:rsidRPr="00947118">
        <w:rPr>
          <w:rFonts w:asciiTheme="minorHAnsi" w:hAnsiTheme="minorHAnsi" w:cstheme="minorHAnsi"/>
          <w:b/>
          <w:szCs w:val="24"/>
        </w:rPr>
        <w:t>CONSTRUCCIÓN DE:</w:t>
      </w:r>
      <w:r w:rsidR="00947118">
        <w:rPr>
          <w:rFonts w:asciiTheme="minorHAnsi" w:hAnsiTheme="minorHAnsi" w:cstheme="minorHAnsi"/>
          <w:b/>
          <w:szCs w:val="24"/>
        </w:rPr>
        <w:t xml:space="preserve"> </w:t>
      </w:r>
      <w:r w:rsidR="00947118" w:rsidRPr="00947118">
        <w:rPr>
          <w:rFonts w:asciiTheme="minorHAnsi" w:hAnsiTheme="minorHAnsi" w:cstheme="minorHAnsi"/>
          <w:b/>
          <w:bCs/>
          <w:szCs w:val="24"/>
          <w:lang w:val="es-ES"/>
        </w:rPr>
        <w:t>PLANTA MULTIFUNCIONAL CON UNIDAD DE FRÍO INCLUIDA</w:t>
      </w:r>
      <w:r w:rsidRPr="00947118">
        <w:rPr>
          <w:rFonts w:asciiTheme="minorHAnsi" w:hAnsiTheme="minorHAnsi" w:cstheme="minorHAnsi"/>
          <w:b/>
          <w:szCs w:val="24"/>
        </w:rPr>
        <w:t>,</w:t>
      </w:r>
      <w:r w:rsidR="005166D2" w:rsidRPr="00947118">
        <w:rPr>
          <w:rFonts w:asciiTheme="minorHAnsi" w:hAnsiTheme="minorHAnsi" w:cstheme="minorHAnsi"/>
          <w:b/>
          <w:szCs w:val="24"/>
        </w:rPr>
        <w:t xml:space="preserve"> </w:t>
      </w:r>
      <w:r w:rsidRPr="00947118">
        <w:rPr>
          <w:rFonts w:asciiTheme="minorHAnsi" w:hAnsiTheme="minorHAnsi" w:cstheme="minorHAnsi"/>
          <w:bCs/>
          <w:szCs w:val="24"/>
        </w:rPr>
        <w:t xml:space="preserve">que </w:t>
      </w:r>
      <w:r w:rsidRPr="00947118">
        <w:rPr>
          <w:rFonts w:asciiTheme="minorHAnsi" w:hAnsiTheme="minorHAnsi" w:cstheme="minorHAnsi"/>
          <w:szCs w:val="24"/>
        </w:rPr>
        <w:t>con base</w:t>
      </w:r>
      <w:r w:rsidR="000B204D" w:rsidRPr="00947118">
        <w:rPr>
          <w:rFonts w:asciiTheme="minorHAnsi" w:hAnsiTheme="minorHAnsi" w:cstheme="minorHAnsi"/>
          <w:szCs w:val="24"/>
        </w:rPr>
        <w:t xml:space="preserve"> al inciso </w:t>
      </w:r>
      <w:r w:rsidR="000B204D" w:rsidRPr="00947118">
        <w:rPr>
          <w:rFonts w:asciiTheme="minorHAnsi" w:hAnsiTheme="minorHAnsi" w:cstheme="minorHAnsi"/>
          <w:b/>
          <w:bCs/>
          <w:szCs w:val="24"/>
          <w:u w:val="single"/>
        </w:rPr>
        <w:t>3.7 Enmiendas</w:t>
      </w:r>
      <w:r w:rsidR="000B204D" w:rsidRPr="00947118">
        <w:rPr>
          <w:rFonts w:asciiTheme="minorHAnsi" w:hAnsiTheme="minorHAnsi" w:cstheme="minorHAnsi"/>
          <w:szCs w:val="24"/>
        </w:rPr>
        <w:t xml:space="preserve"> y</w:t>
      </w:r>
      <w:r w:rsidRPr="00947118">
        <w:rPr>
          <w:rFonts w:asciiTheme="minorHAnsi" w:hAnsiTheme="minorHAnsi" w:cstheme="minorHAnsi"/>
          <w:szCs w:val="24"/>
        </w:rPr>
        <w:t xml:space="preserve"> a</w:t>
      </w:r>
      <w:r w:rsidR="00826A10" w:rsidRPr="00947118">
        <w:rPr>
          <w:rFonts w:asciiTheme="minorHAnsi" w:hAnsiTheme="minorHAnsi" w:cstheme="minorHAnsi"/>
          <w:szCs w:val="24"/>
        </w:rPr>
        <w:t xml:space="preserve"> los</w:t>
      </w:r>
      <w:r w:rsidRPr="00947118">
        <w:rPr>
          <w:rFonts w:asciiTheme="minorHAnsi" w:hAnsiTheme="minorHAnsi" w:cstheme="minorHAnsi"/>
          <w:szCs w:val="24"/>
        </w:rPr>
        <w:t xml:space="preserve"> </w:t>
      </w:r>
      <w:r w:rsidRPr="00947118">
        <w:rPr>
          <w:rFonts w:asciiTheme="minorHAnsi" w:hAnsiTheme="minorHAnsi" w:cstheme="minorHAnsi"/>
          <w:b/>
          <w:bCs/>
          <w:i/>
          <w:iCs/>
          <w:color w:val="auto"/>
          <w:szCs w:val="24"/>
        </w:rPr>
        <w:t>numeral</w:t>
      </w:r>
      <w:r w:rsidR="00C61D6D" w:rsidRPr="00947118">
        <w:rPr>
          <w:rFonts w:asciiTheme="minorHAnsi" w:hAnsiTheme="minorHAnsi" w:cstheme="minorHAnsi"/>
          <w:b/>
          <w:bCs/>
          <w:i/>
          <w:iCs/>
          <w:color w:val="auto"/>
          <w:szCs w:val="24"/>
        </w:rPr>
        <w:t>es 1 y 5</w:t>
      </w:r>
      <w:r w:rsidRPr="00947118">
        <w:rPr>
          <w:rFonts w:asciiTheme="minorHAnsi" w:hAnsiTheme="minorHAnsi" w:cstheme="minorHAnsi"/>
          <w:color w:val="auto"/>
          <w:szCs w:val="24"/>
        </w:rPr>
        <w:t xml:space="preserve"> </w:t>
      </w:r>
      <w:r w:rsidRPr="00947118">
        <w:rPr>
          <w:rFonts w:asciiTheme="minorHAnsi" w:hAnsiTheme="minorHAnsi" w:cstheme="minorHAnsi"/>
          <w:szCs w:val="24"/>
        </w:rPr>
        <w:t>del Documento de Solicitud de Oferta, deben considerar en la preparación de sus ofertas la siguiente modificación al documento en mención</w:t>
      </w:r>
      <w:r w:rsidR="00371BE2" w:rsidRPr="00947118">
        <w:rPr>
          <w:rFonts w:asciiTheme="minorHAnsi" w:hAnsiTheme="minorHAnsi" w:cstheme="minorHAnsi"/>
          <w:szCs w:val="24"/>
        </w:rPr>
        <w:t xml:space="preserve">. </w:t>
      </w:r>
    </w:p>
    <w:p w14:paraId="5E1A1126" w14:textId="75F34C33" w:rsidR="00877A5E" w:rsidRPr="00947118" w:rsidRDefault="00BB50E4" w:rsidP="00AF122D">
      <w:pPr>
        <w:spacing w:after="0" w:line="240" w:lineRule="auto"/>
        <w:ind w:left="-142" w:right="461" w:firstLine="0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szCs w:val="24"/>
        </w:rPr>
        <w:t xml:space="preserve">  </w:t>
      </w:r>
    </w:p>
    <w:p w14:paraId="14725620" w14:textId="77777777" w:rsidR="00153389" w:rsidRPr="00947118" w:rsidRDefault="00153389" w:rsidP="00DC4103">
      <w:pPr>
        <w:pStyle w:val="Prrafodelista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142" w:right="-192" w:firstLine="0"/>
        <w:rPr>
          <w:rFonts w:asciiTheme="minorHAnsi" w:hAnsiTheme="minorHAnsi" w:cstheme="minorHAnsi"/>
          <w:color w:val="auto"/>
          <w:szCs w:val="24"/>
        </w:rPr>
      </w:pPr>
      <w:r w:rsidRPr="00947118">
        <w:rPr>
          <w:rFonts w:asciiTheme="minorHAnsi" w:hAnsiTheme="minorHAnsi" w:cstheme="minorHAnsi"/>
          <w:b/>
          <w:color w:val="auto"/>
          <w:szCs w:val="24"/>
        </w:rPr>
        <w:t>Numeral 1. DATOS GENERALES,</w:t>
      </w:r>
      <w:r w:rsidRPr="00947118">
        <w:rPr>
          <w:rFonts w:asciiTheme="minorHAnsi" w:hAnsiTheme="minorHAnsi" w:cstheme="minorHAnsi"/>
          <w:color w:val="auto"/>
          <w:szCs w:val="24"/>
        </w:rPr>
        <w:t xml:space="preserve"> </w:t>
      </w:r>
      <w:r w:rsidRPr="00947118">
        <w:rPr>
          <w:rFonts w:asciiTheme="minorHAnsi" w:hAnsiTheme="minorHAnsi" w:cstheme="minorHAnsi"/>
          <w:i/>
          <w:iCs/>
          <w:color w:val="auto"/>
          <w:szCs w:val="24"/>
        </w:rPr>
        <w:t>sub numerales: 1.3 y 1.6</w:t>
      </w:r>
      <w:r w:rsidRPr="00947118">
        <w:rPr>
          <w:rFonts w:asciiTheme="minorHAnsi" w:hAnsiTheme="minorHAnsi" w:cstheme="minorHAnsi"/>
          <w:color w:val="auto"/>
          <w:szCs w:val="24"/>
        </w:rPr>
        <w:t xml:space="preserve">, el cual a partir de la siguiente enmienda debe leerse de la siguiente manera:  </w:t>
      </w:r>
    </w:p>
    <w:p w14:paraId="015EBD68" w14:textId="77777777" w:rsidR="00153389" w:rsidRPr="00947118" w:rsidRDefault="00153389" w:rsidP="00153389">
      <w:pPr>
        <w:pStyle w:val="Prrafodelista"/>
        <w:spacing w:after="0" w:line="240" w:lineRule="auto"/>
        <w:ind w:left="927" w:right="517" w:firstLine="0"/>
        <w:rPr>
          <w:rFonts w:asciiTheme="minorHAnsi" w:hAnsiTheme="minorHAnsi" w:cstheme="minorHAnsi"/>
          <w:color w:val="5B9BD5" w:themeColor="accent1"/>
          <w:szCs w:val="24"/>
        </w:rPr>
      </w:pPr>
    </w:p>
    <w:tbl>
      <w:tblPr>
        <w:tblStyle w:val="TableGrid"/>
        <w:tblW w:w="9923" w:type="dxa"/>
        <w:tblInd w:w="-156" w:type="dxa"/>
        <w:tblCellMar>
          <w:top w:w="5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153389" w:rsidRPr="00947118" w14:paraId="0262896D" w14:textId="77777777" w:rsidTr="0021675A">
        <w:trPr>
          <w:trHeight w:val="619"/>
        </w:trPr>
        <w:tc>
          <w:tcPr>
            <w:tcW w:w="9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2A94DF9A" w14:textId="77777777" w:rsidR="00153389" w:rsidRPr="00947118" w:rsidRDefault="00153389" w:rsidP="0021675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5B9BD5" w:themeColor="accent1"/>
                <w:szCs w:val="24"/>
              </w:rPr>
            </w:pPr>
            <w:r w:rsidRPr="00947118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1.3  </w:t>
            </w:r>
          </w:p>
        </w:tc>
        <w:tc>
          <w:tcPr>
            <w:tcW w:w="893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2C52DFDA" w14:textId="0C1ABBA5" w:rsidR="00153389" w:rsidRPr="00947118" w:rsidRDefault="00947118" w:rsidP="00607D5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ES"/>
              </w:rPr>
            </w:pP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La oferta deberá ser presentada en un sólo sobre cerrado a más tardar el </w:t>
            </w:r>
            <w:proofErr w:type="gramStart"/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día m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artes</w:t>
            </w:r>
            <w:proofErr w:type="gramEnd"/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09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 de 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agosto 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de 2022 </w:t>
            </w: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a las 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10:30 a.m.</w:t>
            </w: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, en las oficinas de la OPR La OPR Campo Verde </w:t>
            </w:r>
            <w:proofErr w:type="spellStart"/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Export</w:t>
            </w:r>
            <w:proofErr w:type="spellEnd"/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S.A de C.V (CAVEXSA), ubicada en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la Colonia Venecia</w:t>
            </w: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calle principal entrada de la rotonda del </w:t>
            </w:r>
            <w:proofErr w:type="spellStart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unimall</w:t>
            </w:r>
            <w:proofErr w:type="spellEnd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 cuatro cuadras contiguo a rótulos manía casa de esquina color verde con columnas blancas, portones rojos,</w:t>
            </w: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Municipio de Choluteca, Departamento Choluteca.</w:t>
            </w:r>
            <w:r w:rsidR="00E32ADC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</w:t>
            </w:r>
            <w:r w:rsidR="00E32ADC" w:rsidRPr="00E32ADC">
              <w:rPr>
                <w:rFonts w:asciiTheme="minorHAnsi" w:hAnsiTheme="minorHAnsi" w:cstheme="minorHAnsi"/>
                <w:b/>
                <w:szCs w:val="24"/>
              </w:rPr>
              <w:t>(Ver ANEXO I de esta enmienda)</w:t>
            </w:r>
          </w:p>
        </w:tc>
      </w:tr>
      <w:tr w:rsidR="00153389" w:rsidRPr="00947118" w14:paraId="282C222B" w14:textId="77777777" w:rsidTr="0021675A">
        <w:trPr>
          <w:trHeight w:val="1242"/>
        </w:trPr>
        <w:tc>
          <w:tcPr>
            <w:tcW w:w="993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5" w:space="0" w:color="000000"/>
            </w:tcBorders>
          </w:tcPr>
          <w:p w14:paraId="193EC08D" w14:textId="77777777" w:rsidR="00153389" w:rsidRPr="00947118" w:rsidRDefault="00153389" w:rsidP="0021675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47118">
              <w:rPr>
                <w:rFonts w:asciiTheme="minorHAnsi" w:hAnsiTheme="minorHAnsi" w:cstheme="minorHAnsi"/>
                <w:b/>
                <w:color w:val="auto"/>
                <w:szCs w:val="24"/>
              </w:rPr>
              <w:t>1.6</w:t>
            </w:r>
          </w:p>
        </w:tc>
        <w:tc>
          <w:tcPr>
            <w:tcW w:w="8930" w:type="dxa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</w:tcPr>
          <w:p w14:paraId="7DA185B7" w14:textId="2B9FB700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Las ofertas deberán hacerse llegar a más tardar el </w:t>
            </w:r>
            <w:proofErr w:type="gramStart"/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día m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artes</w:t>
            </w:r>
            <w:proofErr w:type="gramEnd"/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09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 de </w:t>
            </w:r>
            <w:r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agosto 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de 2022 </w:t>
            </w: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a las </w:t>
            </w:r>
            <w:r w:rsidRPr="00947118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10:30 a.m.</w:t>
            </w: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a la siguiente dirección,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C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olonia Venecia</w:t>
            </w:r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calle principal entrada de la rotonda del </w:t>
            </w:r>
            <w:proofErr w:type="spellStart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unimall</w:t>
            </w:r>
            <w:proofErr w:type="spellEnd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 cuatro cuadras contiguo a rótulos manía casa de esquina color verde con columnas blancas, portones rojos,</w:t>
            </w:r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Municipio de Choluteca, Departamento Choluteca.</w:t>
            </w:r>
          </w:p>
          <w:p w14:paraId="3893C70D" w14:textId="7777777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</w:p>
          <w:p w14:paraId="18480415" w14:textId="7777777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>Atención:</w:t>
            </w:r>
          </w:p>
          <w:p w14:paraId="1DD1629D" w14:textId="7777777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Sr. Juan Benito Guevara Vindel</w:t>
            </w:r>
          </w:p>
          <w:p w14:paraId="04C0D15E" w14:textId="7777777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Representante Legal de la OPR </w:t>
            </w:r>
            <w:r w:rsidRPr="00B06EE9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Campo Verde </w:t>
            </w:r>
            <w:proofErr w:type="spellStart"/>
            <w:r w:rsidRPr="00B06EE9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Export</w:t>
            </w:r>
            <w:proofErr w:type="spellEnd"/>
            <w:r w:rsidRPr="00B06EE9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 xml:space="preserve"> S.A de C.V (CAVEXSA).</w:t>
            </w:r>
          </w:p>
          <w:p w14:paraId="742CBCB1" w14:textId="1D6E568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En las Oficinas de (CAVEXSA), </w:t>
            </w:r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ubicada en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la 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C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olonia Venecia</w:t>
            </w:r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</w:t>
            </w:r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calle principal entrada de la rotonda del </w:t>
            </w:r>
            <w:proofErr w:type="spellStart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unimall</w:t>
            </w:r>
            <w:proofErr w:type="spellEnd"/>
            <w:r w:rsidR="00114F6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, cuatro cuadras contiguo a rótulos manía casa de esquina color verde con columnas blancas, portones rojos,</w:t>
            </w:r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Municipio de Choluteca, Departamento </w:t>
            </w:r>
            <w:proofErr w:type="gramStart"/>
            <w:r w:rsidR="00114F6F"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>Choluteca.</w:t>
            </w: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>.</w:t>
            </w:r>
            <w:proofErr w:type="gramEnd"/>
          </w:p>
          <w:p w14:paraId="734FBF52" w14:textId="622FACE7" w:rsidR="00B06EE9" w:rsidRPr="00B06EE9" w:rsidRDefault="00B06EE9" w:rsidP="00B06E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Correos electrónico: </w:t>
            </w:r>
            <w:hyperlink r:id="rId8" w:history="1">
              <w:r w:rsidRPr="00E55D98">
                <w:rPr>
                  <w:rStyle w:val="Hipervnculo"/>
                  <w:rFonts w:asciiTheme="minorHAnsi" w:eastAsiaTheme="minorEastAsia" w:hAnsiTheme="minorHAnsi" w:cstheme="minorHAnsi"/>
                  <w:szCs w:val="24"/>
                  <w:lang w:val="es-MX"/>
                </w:rPr>
                <w:t>consorciocampoverdeadmon2@gmail.com</w:t>
              </w:r>
            </w:hyperlink>
            <w:r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</w:t>
            </w:r>
            <w:r w:rsidRPr="00B06EE9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o </w:t>
            </w:r>
            <w:hyperlink r:id="rId9" w:history="1">
              <w:r w:rsidRPr="00E55D98">
                <w:rPr>
                  <w:rStyle w:val="Hipervnculo"/>
                  <w:rFonts w:asciiTheme="minorHAnsi" w:eastAsiaTheme="minorEastAsia" w:hAnsiTheme="minorHAnsi" w:cstheme="minorHAnsi"/>
                  <w:szCs w:val="24"/>
                  <w:lang w:val="es-MX"/>
                </w:rPr>
                <w:t>gerenciacavexsa@gmail.com</w:t>
              </w:r>
            </w:hyperlink>
            <w:r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</w:t>
            </w:r>
          </w:p>
          <w:p w14:paraId="276D5394" w14:textId="556B91B7" w:rsidR="00153389" w:rsidRPr="00B06EE9" w:rsidRDefault="00B06EE9" w:rsidP="00B06E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es-ES"/>
              </w:rPr>
            </w:pPr>
            <w:r w:rsidRPr="00B06EE9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Las ofertas electrónicas “no serán” permitidas.</w:t>
            </w:r>
          </w:p>
        </w:tc>
      </w:tr>
    </w:tbl>
    <w:p w14:paraId="40279773" w14:textId="01BFB4BC" w:rsidR="00153389" w:rsidRPr="00947118" w:rsidRDefault="00153389" w:rsidP="00153389">
      <w:pPr>
        <w:spacing w:after="0" w:line="240" w:lineRule="auto"/>
        <w:ind w:left="567" w:right="517" w:firstLine="0"/>
        <w:rPr>
          <w:rFonts w:asciiTheme="minorHAnsi" w:hAnsiTheme="minorHAnsi" w:cstheme="minorHAnsi"/>
          <w:b/>
          <w:color w:val="auto"/>
          <w:szCs w:val="24"/>
        </w:rPr>
      </w:pPr>
    </w:p>
    <w:p w14:paraId="05FAB067" w14:textId="7D4E2420" w:rsidR="00877A5E" w:rsidRPr="00947118" w:rsidRDefault="00877A5E" w:rsidP="00AF122D">
      <w:pPr>
        <w:spacing w:after="0" w:line="240" w:lineRule="auto"/>
        <w:ind w:left="-142" w:right="461" w:firstLine="0"/>
        <w:rPr>
          <w:rFonts w:asciiTheme="minorHAnsi" w:hAnsiTheme="minorHAnsi" w:cstheme="minorHAnsi"/>
          <w:szCs w:val="24"/>
        </w:rPr>
      </w:pPr>
    </w:p>
    <w:p w14:paraId="36092A37" w14:textId="53EC6B7A" w:rsidR="003053F4" w:rsidRDefault="003053F4" w:rsidP="00AF122D">
      <w:pPr>
        <w:pStyle w:val="Prrafodelista"/>
        <w:spacing w:after="0" w:line="240" w:lineRule="auto"/>
        <w:ind w:left="927" w:right="517" w:firstLine="0"/>
        <w:rPr>
          <w:rFonts w:asciiTheme="minorHAnsi" w:hAnsiTheme="minorHAnsi" w:cstheme="minorHAnsi"/>
          <w:color w:val="5B9BD5" w:themeColor="accent1"/>
          <w:szCs w:val="24"/>
        </w:rPr>
      </w:pPr>
    </w:p>
    <w:p w14:paraId="2FE41787" w14:textId="5C675CEC" w:rsidR="00CB2B8F" w:rsidRDefault="00CB2B8F" w:rsidP="00AF122D">
      <w:pPr>
        <w:pStyle w:val="Prrafodelista"/>
        <w:spacing w:after="0" w:line="240" w:lineRule="auto"/>
        <w:ind w:left="927" w:right="517" w:firstLine="0"/>
        <w:rPr>
          <w:rFonts w:asciiTheme="minorHAnsi" w:hAnsiTheme="minorHAnsi" w:cstheme="minorHAnsi"/>
          <w:color w:val="5B9BD5" w:themeColor="accent1"/>
          <w:szCs w:val="24"/>
        </w:rPr>
      </w:pPr>
    </w:p>
    <w:p w14:paraId="0464C37F" w14:textId="77777777" w:rsidR="00CB2B8F" w:rsidRPr="00947118" w:rsidRDefault="00CB2B8F" w:rsidP="00AF122D">
      <w:pPr>
        <w:pStyle w:val="Prrafodelista"/>
        <w:spacing w:after="0" w:line="240" w:lineRule="auto"/>
        <w:ind w:left="927" w:right="517" w:firstLine="0"/>
        <w:rPr>
          <w:rFonts w:asciiTheme="minorHAnsi" w:hAnsiTheme="minorHAnsi" w:cstheme="minorHAnsi"/>
          <w:color w:val="5B9BD5" w:themeColor="accent1"/>
          <w:szCs w:val="24"/>
        </w:rPr>
      </w:pPr>
    </w:p>
    <w:p w14:paraId="2E64D4B8" w14:textId="77777777" w:rsidR="00DF2A7F" w:rsidRPr="00947118" w:rsidRDefault="00DF2A7F" w:rsidP="00DF2A7F">
      <w:pPr>
        <w:spacing w:after="0" w:line="240" w:lineRule="auto"/>
        <w:ind w:left="-142" w:right="-192" w:firstLine="0"/>
        <w:rPr>
          <w:rFonts w:asciiTheme="minorHAnsi" w:hAnsiTheme="minorHAnsi" w:cstheme="minorHAnsi"/>
          <w:color w:val="auto"/>
          <w:szCs w:val="24"/>
        </w:rPr>
      </w:pPr>
      <w:r w:rsidRPr="00947118">
        <w:rPr>
          <w:rFonts w:asciiTheme="minorHAnsi" w:hAnsiTheme="minorHAnsi" w:cstheme="minorHAnsi"/>
          <w:b/>
          <w:color w:val="auto"/>
          <w:szCs w:val="24"/>
        </w:rPr>
        <w:t>Numeral 5. OFERTA- Presentación y Apertura de Ofertas,</w:t>
      </w:r>
      <w:r w:rsidRPr="00947118">
        <w:rPr>
          <w:rFonts w:asciiTheme="minorHAnsi" w:hAnsiTheme="minorHAnsi" w:cstheme="minorHAnsi"/>
          <w:color w:val="auto"/>
          <w:szCs w:val="24"/>
        </w:rPr>
        <w:t xml:space="preserve"> </w:t>
      </w:r>
      <w:r w:rsidRPr="00947118">
        <w:rPr>
          <w:rFonts w:asciiTheme="minorHAnsi" w:hAnsiTheme="minorHAnsi" w:cstheme="minorHAnsi"/>
          <w:i/>
          <w:iCs/>
          <w:color w:val="auto"/>
          <w:szCs w:val="24"/>
        </w:rPr>
        <w:t>sub numeral: 5.5, incisos b) y f)</w:t>
      </w:r>
      <w:r w:rsidRPr="00947118">
        <w:rPr>
          <w:rFonts w:asciiTheme="minorHAnsi" w:hAnsiTheme="minorHAnsi" w:cstheme="minorHAnsi"/>
          <w:color w:val="auto"/>
          <w:szCs w:val="24"/>
        </w:rPr>
        <w:t xml:space="preserve"> el cual a partir de la siguiente enmienda debe leerse de la siguiente manera: </w:t>
      </w:r>
    </w:p>
    <w:p w14:paraId="6D416391" w14:textId="77777777" w:rsidR="00DF2A7F" w:rsidRPr="00947118" w:rsidRDefault="00DF2A7F" w:rsidP="00DF2A7F">
      <w:pPr>
        <w:spacing w:after="0" w:line="240" w:lineRule="auto"/>
        <w:ind w:left="-142" w:right="-192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947118">
        <w:rPr>
          <w:rFonts w:asciiTheme="minorHAnsi" w:hAnsiTheme="minorHAnsi" w:cstheme="minorHAnsi"/>
          <w:color w:val="auto"/>
          <w:szCs w:val="24"/>
        </w:rPr>
        <w:t xml:space="preserve"> </w:t>
      </w:r>
    </w:p>
    <w:tbl>
      <w:tblPr>
        <w:tblStyle w:val="TableGrid"/>
        <w:tblW w:w="9923" w:type="dxa"/>
        <w:tblInd w:w="-156" w:type="dxa"/>
        <w:tblCellMar>
          <w:top w:w="5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DF2A7F" w:rsidRPr="00947118" w14:paraId="6B923367" w14:textId="77777777" w:rsidTr="0021675A">
        <w:trPr>
          <w:trHeight w:val="526"/>
        </w:trPr>
        <w:tc>
          <w:tcPr>
            <w:tcW w:w="9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0095B1E2" w14:textId="77777777" w:rsidR="00DF2A7F" w:rsidRPr="00947118" w:rsidRDefault="00DF2A7F" w:rsidP="0021675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47118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5.5  </w:t>
            </w:r>
          </w:p>
        </w:tc>
        <w:tc>
          <w:tcPr>
            <w:tcW w:w="893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09D5D67D" w14:textId="2DF10BC3" w:rsidR="00DF2A7F" w:rsidRPr="008211FF" w:rsidRDefault="008211FF" w:rsidP="002167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szCs w:val="24"/>
                <w:lang w:val="es-ES"/>
              </w:rPr>
            </w:pPr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(b)</w:t>
            </w:r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ab/>
              <w:t xml:space="preserve">La fecha máxima para presentación de ofertas es el </w:t>
            </w:r>
            <w:proofErr w:type="gramStart"/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día m</w:t>
            </w:r>
            <w:r>
              <w:rPr>
                <w:rFonts w:asciiTheme="minorHAnsi" w:eastAsiaTheme="minorEastAsia" w:hAnsiTheme="minorHAnsi" w:cstheme="minorHAnsi"/>
                <w:szCs w:val="24"/>
                <w:lang w:val="es-MX"/>
              </w:rPr>
              <w:t>art</w:t>
            </w:r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>es</w:t>
            </w:r>
            <w:proofErr w:type="gramEnd"/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</w:t>
            </w:r>
            <w:r w:rsidRPr="008211FF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09 de agosto de 2022 a las 10:30 a</w:t>
            </w:r>
            <w:r w:rsidR="00026240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.</w:t>
            </w:r>
            <w:r w:rsidRPr="008211FF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m</w:t>
            </w:r>
            <w:r w:rsidR="00026240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.</w:t>
            </w:r>
            <w:r w:rsidRPr="008211FF">
              <w:rPr>
                <w:rFonts w:asciiTheme="minorHAnsi" w:eastAsiaTheme="minorEastAsia" w:hAnsiTheme="minorHAnsi" w:cstheme="minorHAnsi"/>
                <w:b/>
                <w:bCs/>
                <w:szCs w:val="24"/>
                <w:lang w:val="es-MX"/>
              </w:rPr>
              <w:t>,</w:t>
            </w:r>
            <w:r w:rsidRPr="008211FF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 hora oficial de Honduras en las oficinas de la OPR.</w:t>
            </w:r>
          </w:p>
        </w:tc>
      </w:tr>
      <w:tr w:rsidR="00DF2A7F" w:rsidRPr="00947118" w14:paraId="38EF3016" w14:textId="77777777" w:rsidTr="0021675A">
        <w:trPr>
          <w:trHeight w:val="526"/>
        </w:trPr>
        <w:tc>
          <w:tcPr>
            <w:tcW w:w="993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5" w:space="0" w:color="000000"/>
            </w:tcBorders>
          </w:tcPr>
          <w:p w14:paraId="62CAF263" w14:textId="77777777" w:rsidR="00DF2A7F" w:rsidRPr="00947118" w:rsidRDefault="00DF2A7F" w:rsidP="0021675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8930" w:type="dxa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</w:tcPr>
          <w:p w14:paraId="1EC19ADB" w14:textId="4EA4F174" w:rsidR="00DF2A7F" w:rsidRPr="00947118" w:rsidRDefault="00DF2A7F" w:rsidP="002167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947118">
              <w:rPr>
                <w:rFonts w:asciiTheme="minorHAnsi" w:eastAsiaTheme="minorEastAsia" w:hAnsiTheme="minorHAnsi" w:cstheme="minorHAnsi"/>
                <w:szCs w:val="24"/>
                <w:lang w:val="es-MX"/>
              </w:rPr>
              <w:t xml:space="preserve">f) ESQUINA SUPERIOR DERECHA:  </w:t>
            </w:r>
            <w:r w:rsidRPr="00947118">
              <w:rPr>
                <w:rFonts w:asciiTheme="minorHAnsi" w:hAnsiTheme="minorHAnsi" w:cstheme="minorHAnsi"/>
                <w:szCs w:val="24"/>
              </w:rPr>
              <w:t>No abrir este sobre antes del día</w:t>
            </w:r>
            <w:r w:rsidR="008211FF">
              <w:rPr>
                <w:rFonts w:asciiTheme="minorHAnsi" w:hAnsiTheme="minorHAnsi" w:cstheme="minorHAnsi"/>
                <w:szCs w:val="24"/>
              </w:rPr>
              <w:t>: martes</w:t>
            </w:r>
            <w:r w:rsidRPr="0094711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8211FF">
              <w:rPr>
                <w:rFonts w:asciiTheme="minorHAnsi" w:hAnsiTheme="minorHAnsi" w:cstheme="minorHAnsi"/>
                <w:b/>
                <w:bCs/>
                <w:szCs w:val="24"/>
              </w:rPr>
              <w:t>09</w:t>
            </w:r>
            <w:r w:rsidRPr="00947118">
              <w:rPr>
                <w:rFonts w:asciiTheme="minorHAnsi" w:hAnsiTheme="minorHAnsi" w:cstheme="minorHAnsi"/>
                <w:b/>
                <w:bCs/>
                <w:szCs w:val="24"/>
              </w:rPr>
              <w:t xml:space="preserve"> de agosto de 2022 a las 10:30 a.m. </w:t>
            </w:r>
          </w:p>
          <w:p w14:paraId="045E83B4" w14:textId="77777777" w:rsidR="00DF2A7F" w:rsidRPr="00947118" w:rsidRDefault="00DF2A7F" w:rsidP="002167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szCs w:val="24"/>
                <w:lang w:val="es-MX"/>
              </w:rPr>
            </w:pPr>
          </w:p>
        </w:tc>
      </w:tr>
    </w:tbl>
    <w:p w14:paraId="58B838B8" w14:textId="1268CA23" w:rsidR="00DF2A7F" w:rsidRPr="00947118" w:rsidRDefault="00DF2A7F" w:rsidP="00AF122D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177A50ED" w14:textId="77777777" w:rsidR="00E32ADC" w:rsidRDefault="00E32ADC" w:rsidP="00AF122D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2014CFA5" w14:textId="36DEAC07" w:rsidR="0050799C" w:rsidRPr="00947118" w:rsidRDefault="00BB50E4" w:rsidP="00AF122D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>El resto del Documento de Solicitud de Oferta, SDO-</w:t>
      </w:r>
      <w:r w:rsidR="008D3454" w:rsidRPr="00947118">
        <w:rPr>
          <w:rFonts w:asciiTheme="minorHAnsi" w:hAnsiTheme="minorHAnsi" w:cstheme="minorHAnsi"/>
          <w:b/>
          <w:szCs w:val="24"/>
        </w:rPr>
        <w:t>OBRAS-</w:t>
      </w:r>
      <w:r w:rsidR="008211FF">
        <w:rPr>
          <w:rFonts w:asciiTheme="minorHAnsi" w:hAnsiTheme="minorHAnsi" w:cstheme="minorHAnsi"/>
          <w:b/>
          <w:szCs w:val="24"/>
        </w:rPr>
        <w:t>CAVEXA</w:t>
      </w:r>
      <w:r w:rsidRPr="00947118">
        <w:rPr>
          <w:rFonts w:asciiTheme="minorHAnsi" w:hAnsiTheme="minorHAnsi" w:cstheme="minorHAnsi"/>
          <w:b/>
          <w:szCs w:val="24"/>
        </w:rPr>
        <w:t>-01-</w:t>
      </w:r>
      <w:r w:rsidR="002B4518" w:rsidRPr="00947118">
        <w:rPr>
          <w:rFonts w:asciiTheme="minorHAnsi" w:hAnsiTheme="minorHAnsi" w:cstheme="minorHAnsi"/>
          <w:b/>
          <w:szCs w:val="24"/>
        </w:rPr>
        <w:t>202</w:t>
      </w:r>
      <w:r w:rsidR="00C108A9" w:rsidRPr="00947118">
        <w:rPr>
          <w:rFonts w:asciiTheme="minorHAnsi" w:hAnsiTheme="minorHAnsi" w:cstheme="minorHAnsi"/>
          <w:b/>
          <w:szCs w:val="24"/>
        </w:rPr>
        <w:t>2</w:t>
      </w:r>
      <w:r w:rsidR="002B4518" w:rsidRPr="00947118">
        <w:rPr>
          <w:rFonts w:asciiTheme="minorHAnsi" w:hAnsiTheme="minorHAnsi" w:cstheme="minorHAnsi"/>
          <w:b/>
          <w:szCs w:val="24"/>
        </w:rPr>
        <w:t>, permanece</w:t>
      </w:r>
      <w:r w:rsidRPr="00947118">
        <w:rPr>
          <w:rFonts w:asciiTheme="minorHAnsi" w:hAnsiTheme="minorHAnsi" w:cstheme="minorHAnsi"/>
          <w:b/>
          <w:szCs w:val="24"/>
        </w:rPr>
        <w:t xml:space="preserve"> sin modificación</w:t>
      </w:r>
      <w:r w:rsidRPr="00947118">
        <w:rPr>
          <w:rFonts w:asciiTheme="minorHAnsi" w:hAnsiTheme="minorHAnsi" w:cstheme="minorHAnsi"/>
          <w:szCs w:val="24"/>
        </w:rPr>
        <w:t xml:space="preserve">. </w:t>
      </w:r>
      <w:r w:rsidRPr="00947118">
        <w:rPr>
          <w:rFonts w:asciiTheme="minorHAnsi" w:hAnsiTheme="minorHAnsi" w:cstheme="minorHAnsi"/>
          <w:b/>
          <w:szCs w:val="24"/>
        </w:rPr>
        <w:t xml:space="preserve"> </w:t>
      </w:r>
    </w:p>
    <w:p w14:paraId="596EBF5C" w14:textId="77777777" w:rsidR="0050799C" w:rsidRPr="00947118" w:rsidRDefault="00BB50E4" w:rsidP="00AF122D">
      <w:pPr>
        <w:spacing w:after="0" w:line="240" w:lineRule="auto"/>
        <w:ind w:left="-142" w:right="-192" w:firstLine="0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szCs w:val="24"/>
        </w:rPr>
        <w:t xml:space="preserve"> </w:t>
      </w:r>
    </w:p>
    <w:p w14:paraId="08B02523" w14:textId="0E622E7F" w:rsidR="0050799C" w:rsidRPr="00947118" w:rsidRDefault="00BB50E4" w:rsidP="00AF122D">
      <w:pPr>
        <w:spacing w:after="0" w:line="240" w:lineRule="auto"/>
        <w:ind w:left="-142" w:right="-192" w:firstLine="0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szCs w:val="24"/>
        </w:rPr>
        <w:t xml:space="preserve"> Sin más sobre el particular y agradeciendo de antemano su valioso apoyo, le saludo. </w:t>
      </w:r>
    </w:p>
    <w:p w14:paraId="688D54BA" w14:textId="77777777" w:rsidR="00BB50E4" w:rsidRPr="00947118" w:rsidRDefault="00BB50E4" w:rsidP="00AF122D">
      <w:pPr>
        <w:spacing w:after="0" w:line="240" w:lineRule="auto"/>
        <w:ind w:left="-142" w:right="-192"/>
        <w:rPr>
          <w:rFonts w:asciiTheme="minorHAnsi" w:hAnsiTheme="minorHAnsi" w:cstheme="minorHAnsi"/>
          <w:szCs w:val="24"/>
        </w:rPr>
      </w:pPr>
    </w:p>
    <w:p w14:paraId="10F85970" w14:textId="4E5501FA" w:rsidR="0050799C" w:rsidRPr="00947118" w:rsidRDefault="00BB50E4" w:rsidP="00AF122D">
      <w:pPr>
        <w:spacing w:after="0" w:line="240" w:lineRule="auto"/>
        <w:ind w:left="-142" w:right="-192" w:firstLine="0"/>
        <w:jc w:val="left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szCs w:val="24"/>
        </w:rPr>
        <w:t xml:space="preserve"> </w:t>
      </w:r>
    </w:p>
    <w:p w14:paraId="228BC673" w14:textId="70BE4E58" w:rsidR="00BB50E4" w:rsidRPr="00947118" w:rsidRDefault="00BB50E4" w:rsidP="00AF122D">
      <w:pPr>
        <w:spacing w:after="0" w:line="240" w:lineRule="auto"/>
        <w:ind w:left="1935" w:firstLine="0"/>
        <w:jc w:val="left"/>
        <w:rPr>
          <w:rFonts w:asciiTheme="minorHAnsi" w:hAnsiTheme="minorHAnsi" w:cstheme="minorHAnsi"/>
          <w:noProof/>
          <w:szCs w:val="24"/>
        </w:rPr>
      </w:pPr>
    </w:p>
    <w:p w14:paraId="4FD07FE0" w14:textId="0CC6A299" w:rsidR="00AF122D" w:rsidRPr="00947118" w:rsidRDefault="00AF122D" w:rsidP="00AF122D">
      <w:pPr>
        <w:spacing w:after="0" w:line="240" w:lineRule="auto"/>
        <w:ind w:left="1935" w:firstLine="0"/>
        <w:jc w:val="left"/>
        <w:rPr>
          <w:rFonts w:asciiTheme="minorHAnsi" w:hAnsiTheme="minorHAnsi" w:cstheme="minorHAnsi"/>
          <w:noProof/>
          <w:szCs w:val="24"/>
        </w:rPr>
      </w:pPr>
    </w:p>
    <w:p w14:paraId="3B58827A" w14:textId="29F5E821" w:rsidR="00AF122D" w:rsidRPr="00947118" w:rsidRDefault="00AF122D" w:rsidP="00AF122D">
      <w:pPr>
        <w:spacing w:after="0" w:line="240" w:lineRule="auto"/>
        <w:ind w:left="1935" w:firstLine="0"/>
        <w:jc w:val="left"/>
        <w:rPr>
          <w:rFonts w:asciiTheme="minorHAnsi" w:hAnsiTheme="minorHAnsi" w:cstheme="minorHAnsi"/>
          <w:noProof/>
          <w:szCs w:val="24"/>
        </w:rPr>
      </w:pPr>
    </w:p>
    <w:p w14:paraId="6748FC6C" w14:textId="77777777" w:rsidR="00BB50E4" w:rsidRPr="00947118" w:rsidRDefault="00BB50E4" w:rsidP="00AF122D">
      <w:pPr>
        <w:spacing w:after="0" w:line="240" w:lineRule="auto"/>
        <w:ind w:left="1935" w:firstLine="0"/>
        <w:jc w:val="left"/>
        <w:rPr>
          <w:rFonts w:asciiTheme="minorHAnsi" w:hAnsiTheme="minorHAnsi" w:cstheme="minorHAnsi"/>
          <w:noProof/>
          <w:szCs w:val="24"/>
        </w:rPr>
      </w:pPr>
    </w:p>
    <w:p w14:paraId="040BFBDE" w14:textId="77777777" w:rsidR="008211FF" w:rsidRPr="008211FF" w:rsidRDefault="008211FF" w:rsidP="008211FF">
      <w:pPr>
        <w:spacing w:after="0" w:line="240" w:lineRule="auto"/>
        <w:ind w:left="120" w:firstLine="0"/>
        <w:jc w:val="center"/>
        <w:rPr>
          <w:rFonts w:eastAsia="Times New Roman"/>
          <w:b/>
          <w:bCs/>
          <w:color w:val="auto"/>
          <w:szCs w:val="24"/>
          <w:lang w:eastAsia="en-US"/>
        </w:rPr>
      </w:pPr>
      <w:r w:rsidRPr="008211FF">
        <w:rPr>
          <w:rFonts w:eastAsia="Times New Roman"/>
          <w:b/>
          <w:bCs/>
          <w:color w:val="auto"/>
          <w:spacing w:val="-2"/>
          <w:szCs w:val="24"/>
          <w:lang w:eastAsia="en-US"/>
        </w:rPr>
        <w:t>Juan Benito Guevara Vindel</w:t>
      </w:r>
    </w:p>
    <w:p w14:paraId="5ACA2626" w14:textId="77777777" w:rsidR="008211FF" w:rsidRPr="008211FF" w:rsidRDefault="008211FF" w:rsidP="008211F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 w:rsidRPr="008211FF">
        <w:rPr>
          <w:rFonts w:eastAsia="Times New Roman" w:cs="Times New Roman"/>
          <w:b/>
          <w:color w:val="auto"/>
          <w:szCs w:val="24"/>
          <w:lang w:eastAsia="en-US"/>
        </w:rPr>
        <w:t>Representante Legal</w:t>
      </w:r>
    </w:p>
    <w:p w14:paraId="182669FB" w14:textId="77777777" w:rsidR="008211FF" w:rsidRPr="008211FF" w:rsidRDefault="008211FF" w:rsidP="008211FF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Cs w:val="24"/>
          <w:lang w:eastAsia="en-US"/>
        </w:rPr>
      </w:pPr>
      <w:r w:rsidRPr="008211FF">
        <w:rPr>
          <w:rFonts w:eastAsia="Times New Roman" w:cs="Times New Roman"/>
          <w:b/>
          <w:color w:val="auto"/>
          <w:szCs w:val="24"/>
          <w:lang w:eastAsia="en-US"/>
        </w:rPr>
        <w:t>CAVEXSA</w:t>
      </w:r>
    </w:p>
    <w:p w14:paraId="1295C54C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DB009BB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5BD5FD5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5A8A2D29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3ACA899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DEA151B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41B0F97F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30C24B5A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091AF4B3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D7F961D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43AF2D5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0589942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32958C10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4615CFBF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32E3E0AF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41E35B2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489F2F9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56806298" w14:textId="77777777" w:rsidR="00E32ADC" w:rsidRDefault="00E32ADC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3946E89" w14:textId="533BCBD2" w:rsidR="00E32ADC" w:rsidRDefault="00E32AD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FC3F195" w14:textId="77777777" w:rsidR="00E32ADC" w:rsidRDefault="00E32ADC" w:rsidP="00E32ADC">
      <w:pPr>
        <w:spacing w:after="0" w:line="240" w:lineRule="auto"/>
        <w:ind w:left="0" w:right="-192" w:firstLine="0"/>
        <w:rPr>
          <w:rFonts w:asciiTheme="minorHAnsi" w:hAnsiTheme="minorHAnsi" w:cstheme="minorHAnsi"/>
          <w:b/>
          <w:szCs w:val="24"/>
        </w:rPr>
      </w:pPr>
    </w:p>
    <w:p w14:paraId="1B17EE12" w14:textId="30FAFCE8" w:rsidR="00E32ADC" w:rsidRPr="00E32ADC" w:rsidRDefault="00E32ADC" w:rsidP="00E32ADC">
      <w:pPr>
        <w:spacing w:after="0" w:line="240" w:lineRule="auto"/>
        <w:ind w:left="-142" w:right="-1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4"/>
        </w:rPr>
        <w:t>ANEXO I</w:t>
      </w:r>
    </w:p>
    <w:p w14:paraId="0014F5A5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2595C52B" w14:textId="77777777" w:rsidR="00E32ADC" w:rsidRPr="00B93CB8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Cs/>
          <w:szCs w:val="24"/>
        </w:rPr>
      </w:pPr>
      <w:r w:rsidRPr="00B93CB8">
        <w:rPr>
          <w:rFonts w:asciiTheme="minorHAnsi" w:hAnsiTheme="minorHAnsi" w:cstheme="minorHAnsi"/>
          <w:bCs/>
          <w:szCs w:val="24"/>
        </w:rPr>
        <w:t xml:space="preserve">Ubicación de las oficinas de la OPR </w:t>
      </w:r>
      <w:r w:rsidRPr="00B93CB8">
        <w:rPr>
          <w:rFonts w:asciiTheme="minorHAnsi" w:eastAsiaTheme="minorEastAsia" w:hAnsiTheme="minorHAnsi" w:cstheme="minorHAnsi"/>
          <w:bCs/>
          <w:szCs w:val="24"/>
          <w:lang w:val="es-MX"/>
        </w:rPr>
        <w:t xml:space="preserve">Campo Verde </w:t>
      </w:r>
      <w:proofErr w:type="spellStart"/>
      <w:r w:rsidRPr="00B93CB8">
        <w:rPr>
          <w:rFonts w:asciiTheme="minorHAnsi" w:eastAsiaTheme="minorEastAsia" w:hAnsiTheme="minorHAnsi" w:cstheme="minorHAnsi"/>
          <w:bCs/>
          <w:szCs w:val="24"/>
          <w:lang w:val="es-MX"/>
        </w:rPr>
        <w:t>Export</w:t>
      </w:r>
      <w:proofErr w:type="spellEnd"/>
      <w:r w:rsidRPr="00B93CB8">
        <w:rPr>
          <w:rFonts w:asciiTheme="minorHAnsi" w:eastAsiaTheme="minorEastAsia" w:hAnsiTheme="minorHAnsi" w:cstheme="minorHAnsi"/>
          <w:bCs/>
          <w:szCs w:val="24"/>
          <w:lang w:val="es-MX"/>
        </w:rPr>
        <w:t xml:space="preserve"> S.A de C.V (CAVEXSA), </w:t>
      </w:r>
      <w:r w:rsidRPr="00B93CB8">
        <w:rPr>
          <w:rFonts w:asciiTheme="minorHAnsi" w:hAnsiTheme="minorHAnsi" w:cstheme="minorHAnsi"/>
          <w:bCs/>
          <w:szCs w:val="24"/>
        </w:rPr>
        <w:t>donde realizara la recepción y apertura de las ofertas, en el Municipio de Choluteca, Departamento de Choluteca.</w:t>
      </w:r>
    </w:p>
    <w:p w14:paraId="7DB9CC59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BE16858" w14:textId="77777777" w:rsidR="00E32ADC" w:rsidRPr="00B93CB8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Cs/>
          <w:szCs w:val="24"/>
        </w:rPr>
      </w:pPr>
      <w:hyperlink r:id="rId10" w:history="1">
        <w:r w:rsidRPr="00B93CB8">
          <w:rPr>
            <w:rStyle w:val="Hipervnculo"/>
            <w:rFonts w:asciiTheme="minorHAnsi" w:hAnsiTheme="minorHAnsi" w:cstheme="minorHAnsi"/>
            <w:bCs/>
            <w:szCs w:val="24"/>
          </w:rPr>
          <w:t>https://maps.google.com/?q=13.309093,-87.175667</w:t>
        </w:r>
      </w:hyperlink>
    </w:p>
    <w:p w14:paraId="716CD51A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  <w:r w:rsidRPr="00B93CB8">
        <w:rPr>
          <w:rFonts w:asciiTheme="minorHAnsi" w:hAnsiTheme="minorHAnsi" w:cstheme="minorHAnsi"/>
          <w:b/>
          <w:szCs w:val="24"/>
        </w:rPr>
        <w:drawing>
          <wp:anchor distT="0" distB="0" distL="114300" distR="114300" simplePos="0" relativeHeight="251661312" behindDoc="1" locked="0" layoutInCell="1" allowOverlap="1" wp14:anchorId="5CC20BFA" wp14:editId="1B52550F">
            <wp:simplePos x="0" y="0"/>
            <wp:positionH relativeFrom="column">
              <wp:posOffset>448945</wp:posOffset>
            </wp:positionH>
            <wp:positionV relativeFrom="paragraph">
              <wp:posOffset>186690</wp:posOffset>
            </wp:positionV>
            <wp:extent cx="5175250" cy="216535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83E2D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43B64EBE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43F79562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0C2A9996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952BFD2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695BB32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493B5A2F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04FFA1EE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DF3EDAB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71F19A86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3F206AE5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9B1B69F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11B7DAAA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554C6A9F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6FA33ECF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64AD7E5D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6ED596AA" w14:textId="77777777" w:rsidR="00E32ADC" w:rsidRDefault="00E32ADC" w:rsidP="00E32ADC">
      <w:pPr>
        <w:spacing w:after="0" w:line="240" w:lineRule="auto"/>
        <w:ind w:left="-142" w:right="-192"/>
        <w:rPr>
          <w:rFonts w:asciiTheme="minorHAnsi" w:hAnsiTheme="minorHAnsi" w:cstheme="minorHAnsi"/>
          <w:b/>
          <w:szCs w:val="24"/>
        </w:rPr>
      </w:pPr>
    </w:p>
    <w:p w14:paraId="69D6F123" w14:textId="16534540" w:rsidR="0050799C" w:rsidRPr="00947118" w:rsidRDefault="00BB50E4" w:rsidP="00AF122D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947118">
        <w:rPr>
          <w:rFonts w:asciiTheme="minorHAnsi" w:hAnsiTheme="minorHAnsi" w:cstheme="minorHAnsi"/>
          <w:b/>
          <w:szCs w:val="24"/>
        </w:rPr>
        <w:t xml:space="preserve">  </w:t>
      </w:r>
    </w:p>
    <w:sectPr w:rsidR="0050799C" w:rsidRPr="00947118">
      <w:headerReference w:type="default" r:id="rId12"/>
      <w:pgSz w:w="11908" w:h="16836"/>
      <w:pgMar w:top="1464" w:right="1186" w:bottom="14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BD70" w14:textId="77777777" w:rsidR="009913BB" w:rsidRDefault="009913BB" w:rsidP="009913BB">
      <w:pPr>
        <w:spacing w:after="0" w:line="240" w:lineRule="auto"/>
      </w:pPr>
      <w:r>
        <w:separator/>
      </w:r>
    </w:p>
  </w:endnote>
  <w:endnote w:type="continuationSeparator" w:id="0">
    <w:p w14:paraId="271DE854" w14:textId="77777777" w:rsidR="009913BB" w:rsidRDefault="009913BB" w:rsidP="0099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7922" w14:textId="77777777" w:rsidR="009913BB" w:rsidRDefault="009913BB" w:rsidP="009913BB">
      <w:pPr>
        <w:spacing w:after="0" w:line="240" w:lineRule="auto"/>
      </w:pPr>
      <w:r>
        <w:separator/>
      </w:r>
    </w:p>
  </w:footnote>
  <w:footnote w:type="continuationSeparator" w:id="0">
    <w:p w14:paraId="250345D6" w14:textId="77777777" w:rsidR="009913BB" w:rsidRDefault="009913BB" w:rsidP="0099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10"/>
      <w:gridCol w:w="5824"/>
    </w:tblGrid>
    <w:tr w:rsidR="00E32ADC" w:rsidRPr="00E32ADC" w14:paraId="0E09A03E" w14:textId="77777777" w:rsidTr="00E32ADC">
      <w:trPr>
        <w:trHeight w:val="1124"/>
      </w:trPr>
      <w:tc>
        <w:tcPr>
          <w:tcW w:w="3810" w:type="dxa"/>
          <w:vAlign w:val="center"/>
        </w:tcPr>
        <w:p w14:paraId="1E36B1B5" w14:textId="12F70037" w:rsidR="00E32ADC" w:rsidRPr="00E32ADC" w:rsidRDefault="00E32ADC" w:rsidP="00E32ADC">
          <w:pPr>
            <w:tabs>
              <w:tab w:val="left" w:pos="910"/>
            </w:tabs>
            <w:spacing w:after="0" w:line="276" w:lineRule="auto"/>
            <w:ind w:left="0" w:firstLine="0"/>
            <w:jc w:val="center"/>
            <w:rPr>
              <w:rFonts w:eastAsia="Times New Roman" w:cs="Times New Roman"/>
              <w:color w:val="auto"/>
              <w:szCs w:val="24"/>
              <w:lang w:eastAsia="en-US"/>
            </w:rPr>
          </w:pPr>
          <w:r w:rsidRPr="00E32ADC">
            <w:rPr>
              <w:rFonts w:ascii="Cambria" w:eastAsia="Times New Roman" w:hAnsi="Cambria" w:cs="Times New Roman"/>
              <w:i/>
              <w:iCs/>
              <w:noProof/>
              <w:color w:val="808080"/>
              <w:kern w:val="28"/>
              <w:sz w:val="22"/>
              <w:lang w:eastAsia="es-ES"/>
            </w:rPr>
            <w:drawing>
              <wp:inline distT="0" distB="0" distL="0" distR="0" wp14:anchorId="19081CBE" wp14:editId="1DB3BA19">
                <wp:extent cx="1997075" cy="829310"/>
                <wp:effectExtent l="0" t="0" r="3175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vAlign w:val="center"/>
        </w:tcPr>
        <w:p w14:paraId="334C37E8" w14:textId="77777777" w:rsidR="00E32ADC" w:rsidRPr="00E32ADC" w:rsidRDefault="00E32ADC" w:rsidP="00E32ADC">
          <w:pPr>
            <w:spacing w:after="0" w:line="240" w:lineRule="auto"/>
            <w:ind w:left="0" w:right="10" w:firstLine="0"/>
            <w:jc w:val="center"/>
            <w:rPr>
              <w:rFonts w:eastAsia="Times New Roman"/>
              <w:b/>
              <w:color w:val="161616"/>
              <w:w w:val="90"/>
              <w:szCs w:val="24"/>
              <w:lang w:eastAsia="en-US"/>
            </w:rPr>
          </w:pPr>
          <w:r w:rsidRPr="00E32ADC">
            <w:rPr>
              <w:rFonts w:eastAsia="Times New Roman"/>
              <w:b/>
              <w:bCs/>
              <w:color w:val="auto"/>
              <w:sz w:val="28"/>
              <w:szCs w:val="28"/>
              <w:lang w:val="es-GT" w:eastAsia="en-US"/>
            </w:rPr>
            <w:t>CAMPO VERDE EXPORT S.A DE C.V. (CAVEXSA)</w:t>
          </w:r>
        </w:p>
      </w:tc>
    </w:tr>
  </w:tbl>
  <w:p w14:paraId="639F2FAD" w14:textId="77777777" w:rsidR="00E32ADC" w:rsidRDefault="00E32A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DBC"/>
    <w:multiLevelType w:val="hybridMultilevel"/>
    <w:tmpl w:val="575A7586"/>
    <w:lvl w:ilvl="0" w:tplc="2E0A8C86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733720"/>
    <w:multiLevelType w:val="hybridMultilevel"/>
    <w:tmpl w:val="1356243E"/>
    <w:lvl w:ilvl="0" w:tplc="4D5E72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4111B2"/>
    <w:multiLevelType w:val="multilevel"/>
    <w:tmpl w:val="24EA7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716D3"/>
    <w:multiLevelType w:val="multilevel"/>
    <w:tmpl w:val="7D28D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/>
        <w:b/>
      </w:rPr>
    </w:lvl>
  </w:abstractNum>
  <w:abstractNum w:abstractNumId="4" w15:restartNumberingAfterBreak="0">
    <w:nsid w:val="66B87B20"/>
    <w:multiLevelType w:val="hybridMultilevel"/>
    <w:tmpl w:val="510C8C50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B4435"/>
    <w:multiLevelType w:val="multilevel"/>
    <w:tmpl w:val="1B12F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7D9D4D46"/>
    <w:multiLevelType w:val="hybridMultilevel"/>
    <w:tmpl w:val="E2A69F60"/>
    <w:lvl w:ilvl="0" w:tplc="92462F08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480A0019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5404287">
    <w:abstractNumId w:val="4"/>
  </w:num>
  <w:num w:numId="2" w16cid:durableId="1437211787">
    <w:abstractNumId w:val="3"/>
  </w:num>
  <w:num w:numId="3" w16cid:durableId="100417014">
    <w:abstractNumId w:val="2"/>
  </w:num>
  <w:num w:numId="4" w16cid:durableId="2072461795">
    <w:abstractNumId w:val="5"/>
  </w:num>
  <w:num w:numId="5" w16cid:durableId="848058732">
    <w:abstractNumId w:val="1"/>
  </w:num>
  <w:num w:numId="6" w16cid:durableId="1998336147">
    <w:abstractNumId w:val="6"/>
  </w:num>
  <w:num w:numId="7" w16cid:durableId="222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9C"/>
    <w:rsid w:val="00026240"/>
    <w:rsid w:val="000623B3"/>
    <w:rsid w:val="00084E1A"/>
    <w:rsid w:val="000B204D"/>
    <w:rsid w:val="000D5AE6"/>
    <w:rsid w:val="00114F6F"/>
    <w:rsid w:val="00153389"/>
    <w:rsid w:val="001D1256"/>
    <w:rsid w:val="0021696B"/>
    <w:rsid w:val="002202CB"/>
    <w:rsid w:val="0024221E"/>
    <w:rsid w:val="0028115D"/>
    <w:rsid w:val="002B4518"/>
    <w:rsid w:val="002F56D6"/>
    <w:rsid w:val="003053F4"/>
    <w:rsid w:val="00367C9C"/>
    <w:rsid w:val="00371BE2"/>
    <w:rsid w:val="0042694B"/>
    <w:rsid w:val="00471FF9"/>
    <w:rsid w:val="004B78B1"/>
    <w:rsid w:val="004D7746"/>
    <w:rsid w:val="00500D10"/>
    <w:rsid w:val="0050799C"/>
    <w:rsid w:val="005166D2"/>
    <w:rsid w:val="005B0C4E"/>
    <w:rsid w:val="00607D5D"/>
    <w:rsid w:val="00651056"/>
    <w:rsid w:val="00652B85"/>
    <w:rsid w:val="006B5AD1"/>
    <w:rsid w:val="006E6266"/>
    <w:rsid w:val="00742B80"/>
    <w:rsid w:val="00747F0E"/>
    <w:rsid w:val="00753CB4"/>
    <w:rsid w:val="007922FD"/>
    <w:rsid w:val="00816CC3"/>
    <w:rsid w:val="008174FD"/>
    <w:rsid w:val="008211FF"/>
    <w:rsid w:val="00826A10"/>
    <w:rsid w:val="00877A5E"/>
    <w:rsid w:val="008D3454"/>
    <w:rsid w:val="009420E2"/>
    <w:rsid w:val="00947118"/>
    <w:rsid w:val="009913BB"/>
    <w:rsid w:val="009A0110"/>
    <w:rsid w:val="009A44F3"/>
    <w:rsid w:val="009A486F"/>
    <w:rsid w:val="009E013C"/>
    <w:rsid w:val="00A1598B"/>
    <w:rsid w:val="00A2715D"/>
    <w:rsid w:val="00AA1136"/>
    <w:rsid w:val="00AC6C97"/>
    <w:rsid w:val="00AD5FBD"/>
    <w:rsid w:val="00AF122D"/>
    <w:rsid w:val="00AF1231"/>
    <w:rsid w:val="00AF5CE8"/>
    <w:rsid w:val="00B06EE9"/>
    <w:rsid w:val="00B93CB8"/>
    <w:rsid w:val="00BA5877"/>
    <w:rsid w:val="00BB50E4"/>
    <w:rsid w:val="00C014C9"/>
    <w:rsid w:val="00C108A9"/>
    <w:rsid w:val="00C12B16"/>
    <w:rsid w:val="00C32C3E"/>
    <w:rsid w:val="00C40771"/>
    <w:rsid w:val="00C61D6D"/>
    <w:rsid w:val="00C97E6A"/>
    <w:rsid w:val="00CA650F"/>
    <w:rsid w:val="00CA68C5"/>
    <w:rsid w:val="00CB2B8F"/>
    <w:rsid w:val="00D14D91"/>
    <w:rsid w:val="00DC4103"/>
    <w:rsid w:val="00DE3C1C"/>
    <w:rsid w:val="00DF2A7F"/>
    <w:rsid w:val="00E06573"/>
    <w:rsid w:val="00E32ADC"/>
    <w:rsid w:val="00E4129B"/>
    <w:rsid w:val="00EC518B"/>
    <w:rsid w:val="00F923AF"/>
    <w:rsid w:val="00FB5B6D"/>
    <w:rsid w:val="00FC2272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20AF3B38"/>
  <w15:docId w15:val="{C3B06393-2ABC-400F-9924-0F88045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 w:line="258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53C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D9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02CB"/>
    <w:rPr>
      <w:color w:val="605E5C"/>
      <w:shd w:val="clear" w:color="auto" w:fill="E1DFDD"/>
    </w:rPr>
  </w:style>
  <w:style w:type="paragraph" w:customStyle="1" w:styleId="Default">
    <w:name w:val="Default"/>
    <w:rsid w:val="009A4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6F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3BB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9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3BB"/>
    <w:rPr>
      <w:rFonts w:ascii="Calibri" w:eastAsia="Calibri" w:hAnsi="Calibri" w:cs="Calibri"/>
      <w:color w:val="000000"/>
      <w:sz w:val="24"/>
    </w:rPr>
  </w:style>
  <w:style w:type="character" w:styleId="nfasissutil">
    <w:name w:val="Subtle Emphasis"/>
    <w:basedOn w:val="Fuentedeprrafopredeter"/>
    <w:uiPriority w:val="19"/>
    <w:qFormat/>
    <w:rsid w:val="009913BB"/>
    <w:rPr>
      <w:i/>
      <w:color w:val="808080"/>
    </w:rPr>
  </w:style>
  <w:style w:type="paragraph" w:styleId="Sinespaciado">
    <w:name w:val="No Spacing"/>
    <w:uiPriority w:val="1"/>
    <w:qFormat/>
    <w:rsid w:val="009471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0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ciocampoverdeadmon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13.309093,-87.1756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enciacavex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C512-939B-4CDC-B752-4BA05AB3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Angel Maldonado</cp:lastModifiedBy>
  <cp:revision>2</cp:revision>
  <dcterms:created xsi:type="dcterms:W3CDTF">2022-07-22T22:46:00Z</dcterms:created>
  <dcterms:modified xsi:type="dcterms:W3CDTF">2022-07-22T22:46:00Z</dcterms:modified>
</cp:coreProperties>
</file>